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98" w:lineRule="auto"/>
        <w:ind w:left="0" w:hanging="0"/>
        <w:rPr>
          <w:b/>
          <w:sz w:val="32"/>
          <w:szCs w:val="32"/>
          <w:sz w:val="32"/>
          <w:szCs w:val="32"/>
          <w:rFonts w:ascii="Tahoma" w:eastAsia="Tahoma" w:hAnsi="Tahoma"/>
        </w:rPr>
      </w:pPr>
      <w:r>
        <w:rPr>
          <w:rStyle w:val="Character1"/>
          <w:b/>
          <w:sz w:val="32"/>
          <w:szCs w:val="32"/>
        </w:rPr>
        <w:t xml:space="preserve">Proper Application of Romans 14</w:t>
      </w:r>
    </w:p>
    <w:p>
      <w:pPr>
        <w:pStyle w:val="Para1"/>
        <w:spacing w:line="298" w:lineRule="auto"/>
        <w:ind w:left="0" w:hanging="0"/>
        <w:rPr>
          <w:i/>
          <w:sz w:val="24"/>
          <w:szCs w:val="24"/>
          <w:sz w:val="24"/>
          <w:szCs w:val="24"/>
          <w:rFonts w:ascii="Tahoma" w:eastAsia="Tahoma" w:hAnsi="Tahoma"/>
        </w:rPr>
      </w:pPr>
      <w:r>
        <w:rPr>
          <w:rStyle w:val="Character3"/>
          <w:i/>
          <w:sz w:val="24"/>
          <w:szCs w:val="24"/>
        </w:rPr>
        <w:t xml:space="preserve">Romans 14</w:t>
      </w:r>
    </w:p>
    <w:p>
      <w:pPr>
        <w:pStyle w:val="Para1"/>
        <w:spacing w:line="298" w:lineRule="auto"/>
        <w:ind w:left="0" w:hanging="0"/>
        <w:rPr>
          <w:i/>
          <w:sz w:val="24"/>
          <w:szCs w:val="24"/>
          <w:sz w:val="24"/>
          <w:szCs w:val="24"/>
          <w:rFonts w:ascii="Tahoma" w:eastAsia="Tahoma" w:hAnsi="Tahoma"/>
        </w:rPr>
      </w:pPr>
    </w:p>
    <w:p>
      <w:pPr>
        <w:pStyle w:val="a3"/>
        <w:numPr>
          <w:ilvl w:val="0"/>
          <w:numId w:val="1"/>
        </w:numPr>
        <w:jc w:val="left"/>
        <w:spacing w:line="298" w:lineRule="auto"/>
        <w:ind w:left="4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Rules of interpreting passages.</w:t>
      </w:r>
    </w:p>
    <w:p>
      <w:pPr>
        <w:pStyle w:val="a3"/>
        <w:numPr>
          <w:ilvl w:val="1"/>
          <w:numId w:val="2"/>
        </w:numPr>
        <w:jc w:val="left"/>
        <w:spacing w:line="298" w:lineRule="auto"/>
        <w:ind w:left="74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>Context!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Immediate - within the chapter being considered.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Remote - all other passages parallel or contrasting.</w:t>
      </w:r>
    </w:p>
    <w:p>
      <w:pPr>
        <w:pStyle w:val="a3"/>
        <w:numPr>
          <w:ilvl w:val="0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In other words, all scripture must be taken into consideration. Scripture </w:t>
      </w:r>
      <w:r>
        <w:rPr>
          <w:rStyle w:val="Character7"/>
          <w:sz w:val="24"/>
          <w:szCs w:val="24"/>
        </w:rPr>
        <w:t xml:space="preserve">harmonizes. If your understanding of one passage differs from your </w:t>
      </w:r>
      <w:r>
        <w:rPr>
          <w:rStyle w:val="Character7"/>
          <w:sz w:val="24"/>
          <w:szCs w:val="24"/>
        </w:rPr>
        <w:t xml:space="preserve">understanding of a passage parallel to it, your understanding of one of </w:t>
      </w:r>
      <w:r>
        <w:rPr>
          <w:rStyle w:val="Character7"/>
          <w:sz w:val="24"/>
          <w:szCs w:val="24"/>
        </w:rPr>
        <w:t xml:space="preserve">them is flawed (possibly both).</w:t>
      </w:r>
    </w:p>
    <w:p>
      <w:pPr>
        <w:pStyle w:val="a3"/>
        <w:numPr>
          <w:ilvl w:val="0"/>
          <w:numId w:val="3"/>
        </w:numPr>
        <w:jc w:val="left"/>
        <w:spacing w:line="298" w:lineRule="auto"/>
        <w:ind w:left="4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Three things we must consider in Romans 14.</w:t>
      </w: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A. Bible teaching of receiving and not receiving.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"Receive one" (</w:t>
      </w:r>
      <w:r>
        <w:rPr>
          <w:rStyle w:val="Character15"/>
          <w:sz w:val="24"/>
          <w:szCs w:val="24"/>
          <w:shd w:val="clear" w:color="auto" w:fill="81DDFF"/>
        </w:rPr>
        <w:t>14:1</w:t>
      </w:r>
      <w:r>
        <w:rPr>
          <w:rStyle w:val="Character7"/>
          <w:sz w:val="24"/>
          <w:szCs w:val="24"/>
        </w:rPr>
        <w:t xml:space="preserve">) - In light of ALL scripture who can we receive and </w:t>
      </w:r>
      <w:r>
        <w:rPr>
          <w:rStyle w:val="Character7"/>
          <w:sz w:val="24"/>
          <w:szCs w:val="24"/>
        </w:rPr>
        <w:t xml:space="preserve">who are we to reject?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Is Paul contradicting himself? (</w:t>
      </w:r>
      <w:r>
        <w:rPr>
          <w:rStyle w:val="Character16"/>
          <w:sz w:val="24"/>
          <w:szCs w:val="24"/>
          <w:shd w:val="clear" w:color="auto" w:fill="FFFF00"/>
        </w:rPr>
        <w:t xml:space="preserve">cf. Romans 16:17-18</w:t>
      </w:r>
      <w:r>
        <w:rPr>
          <w:rStyle w:val="Character7"/>
          <w:sz w:val="24"/>
          <w:szCs w:val="24"/>
        </w:rPr>
        <w:t>)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No. (</w:t>
      </w:r>
      <w:r>
        <w:rPr>
          <w:rStyle w:val="Character16"/>
          <w:sz w:val="24"/>
          <w:szCs w:val="24"/>
          <w:shd w:val="clear" w:color="auto" w:fill="FFFF00"/>
        </w:rPr>
        <w:t xml:space="preserve">cf. 2 John 9-11</w:t>
      </w:r>
      <w:r>
        <w:rPr>
          <w:rStyle w:val="Character7"/>
          <w:sz w:val="24"/>
          <w:szCs w:val="24"/>
        </w:rPr>
        <w:t>)</w:t>
      </w:r>
    </w:p>
    <w:p>
      <w:pPr>
        <w:pStyle w:val="a3"/>
        <w:numPr>
          <w:ilvl w:val="5"/>
          <w:numId w:val="2"/>
        </w:numPr>
        <w:jc w:val="left"/>
        <w:spacing w:line="298" w:lineRule="auto"/>
        <w:ind w:left="21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God does not receive one in sin, neither can we.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The one Paul instructs to receive in </w:t>
      </w:r>
      <w:r>
        <w:rPr>
          <w:rStyle w:val="Character15"/>
          <w:sz w:val="24"/>
          <w:szCs w:val="24"/>
          <w:shd w:val="clear" w:color="auto" w:fill="81DDFF"/>
        </w:rPr>
        <w:t xml:space="preserve">14:1 </w:t>
      </w:r>
      <w:r>
        <w:rPr>
          <w:rStyle w:val="Character7"/>
          <w:sz w:val="24"/>
          <w:szCs w:val="24"/>
        </w:rPr>
        <w:t xml:space="preserve">couldn't possibly be an </w:t>
      </w:r>
      <w:r>
        <w:rPr>
          <w:rStyle w:val="Character7"/>
          <w:sz w:val="24"/>
          <w:szCs w:val="24"/>
        </w:rPr>
        <w:t xml:space="preserve">individual in sin. It doesn't harmonize with other passages.</w:t>
      </w: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B. Bible teaching about disputing over doubtful things.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"weak in faith"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Jude says contend (</w:t>
      </w:r>
      <w:r>
        <w:rPr>
          <w:rStyle w:val="Character16"/>
          <w:sz w:val="24"/>
          <w:szCs w:val="24"/>
          <w:shd w:val="clear" w:color="auto" w:fill="FFFF00"/>
        </w:rPr>
        <w:t xml:space="preserve">Jude 3</w:t>
      </w:r>
      <w:r>
        <w:rPr>
          <w:rStyle w:val="Character7"/>
          <w:sz w:val="24"/>
          <w:szCs w:val="24"/>
        </w:rPr>
        <w:t xml:space="preserve">), Paul says dispute not.</w:t>
      </w:r>
    </w:p>
    <w:p>
      <w:pPr>
        <w:pStyle w:val="a3"/>
        <w:numPr>
          <w:ilvl w:val="0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Therefore, "the faith" in </w:t>
      </w:r>
      <w:r>
        <w:rPr>
          <w:rStyle w:val="Character15"/>
          <w:sz w:val="24"/>
          <w:szCs w:val="24"/>
          <w:shd w:val="clear" w:color="auto" w:fill="81DDFF"/>
        </w:rPr>
        <w:t>14:1</w:t>
      </w:r>
      <w:r>
        <w:rPr>
          <w:rStyle w:val="Character7"/>
          <w:sz w:val="24"/>
          <w:szCs w:val="24"/>
        </w:rPr>
        <w:t xml:space="preserve"> cannot be the object of faith (word of </w:t>
      </w:r>
      <w:r>
        <w:rPr>
          <w:rStyle w:val="Character7"/>
          <w:sz w:val="24"/>
          <w:szCs w:val="24"/>
        </w:rPr>
        <w:t xml:space="preserve">God/doctrine of Christ). It is the persons own conscience toward the </w:t>
      </w:r>
      <w:r>
        <w:rPr>
          <w:rStyle w:val="Character7"/>
          <w:sz w:val="24"/>
          <w:szCs w:val="24"/>
        </w:rPr>
        <w:t xml:space="preserve">matter of Indifference  (</w:t>
      </w:r>
      <w:r>
        <w:rPr>
          <w:rStyle w:val="Character15"/>
          <w:sz w:val="24"/>
          <w:szCs w:val="24"/>
          <w:shd w:val="clear" w:color="auto" w:fill="81DDFF"/>
        </w:rPr>
        <w:t>14:23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Describes matters of Indifference,  NOT sin/doctrinal error.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Eating meat vs. Not eating meat (</w:t>
      </w:r>
      <w:r>
        <w:rPr>
          <w:rStyle w:val="Character15"/>
          <w:sz w:val="24"/>
          <w:szCs w:val="24"/>
          <w:shd w:val="clear" w:color="auto" w:fill="81DDFF"/>
        </w:rPr>
        <w:t>14:1-3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0"/>
          <w:numId w:val="2"/>
        </w:numPr>
        <w:jc w:val="left"/>
        <w:spacing w:line="298" w:lineRule="auto"/>
        <w:ind w:left="21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Neither is sinful. No condemnation of a vegetarian diet. </w:t>
      </w:r>
      <w:r>
        <w:rPr>
          <w:rStyle w:val="Character7"/>
          <w:sz w:val="24"/>
          <w:szCs w:val="24"/>
        </w:rPr>
        <w:t xml:space="preserve">Commendation of eating meats (cf. </w:t>
      </w:r>
      <w:r>
        <w:rPr>
          <w:rStyle w:val="Character16"/>
          <w:sz w:val="24"/>
          <w:szCs w:val="24"/>
          <w:shd w:val="clear" w:color="auto" w:fill="FFFF00"/>
        </w:rPr>
        <w:t xml:space="preserve">1 Timothy 4:3-5; Acts 10:11-</w:t>
      </w:r>
      <w:r>
        <w:rPr>
          <w:rStyle w:val="Character16"/>
          <w:sz w:val="24"/>
          <w:szCs w:val="24"/>
          <w:shd w:val="clear" w:color="auto" w:fill="FFFF00"/>
        </w:rPr>
        <w:t>16</w:t>
      </w:r>
      <w:r>
        <w:rPr>
          <w:rStyle w:val="Character7"/>
          <w:sz w:val="24"/>
          <w:szCs w:val="24"/>
        </w:rPr>
        <w:t xml:space="preserve"> - Peter's vision of animals in sheet like object; </w:t>
      </w:r>
      <w:r>
        <w:rPr>
          <w:rStyle w:val="Character16"/>
          <w:sz w:val="24"/>
          <w:szCs w:val="24"/>
          <w:shd w:val="clear" w:color="auto" w:fill="FFFF00"/>
        </w:rPr>
        <w:t xml:space="preserve">1 Corinthians </w:t>
      </w:r>
      <w:r>
        <w:rPr>
          <w:rStyle w:val="Character16"/>
          <w:sz w:val="24"/>
          <w:szCs w:val="24"/>
          <w:shd w:val="clear" w:color="auto" w:fill="FFFF00"/>
        </w:rPr>
        <w:t>10:25-32</w:t>
      </w:r>
      <w:r>
        <w:rPr>
          <w:rStyle w:val="Character7"/>
          <w:sz w:val="24"/>
          <w:szCs w:val="24"/>
        </w:rPr>
        <w:t xml:space="preserve"> - Meat offered to idols okay.)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However, we must dispute/judge sinful things (cf. </w:t>
      </w:r>
      <w:r>
        <w:rPr>
          <w:rStyle w:val="Character16"/>
          <w:sz w:val="24"/>
          <w:szCs w:val="24"/>
          <w:shd w:val="clear" w:color="auto" w:fill="FFFF00"/>
        </w:rPr>
        <w:t xml:space="preserve">1 Corinthians 5:3-5</w:t>
      </w:r>
      <w:r>
        <w:rPr>
          <w:rStyle w:val="Character7"/>
          <w:sz w:val="24"/>
          <w:szCs w:val="24"/>
        </w:rPr>
        <w:t xml:space="preserve"> - </w:t>
      </w:r>
      <w:r>
        <w:rPr>
          <w:rStyle w:val="Character7"/>
          <w:sz w:val="24"/>
          <w:szCs w:val="24"/>
        </w:rPr>
        <w:t xml:space="preserve">Man involved in sexual immorality.)</w:t>
      </w: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</w:p>
    <w:p>
      <w:pPr>
        <w:pStyle w:val="Para5"/>
        <w:spacing w:line="298" w:lineRule="auto"/>
        <w:ind w:left="340" w:firstLine="0"/>
        <w:rPr>
          <w:sz w:val="24"/>
          <w:szCs w:val="24"/>
          <w:sz w:val="24"/>
          <w:szCs w:val="24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C. Bible teaching on the difference between indifferent matters and sin.</w:t>
      </w:r>
    </w:p>
    <w:p>
      <w:pPr>
        <w:pStyle w:val="a3"/>
        <w:numPr>
          <w:ilvl w:val="2"/>
          <w:numId w:val="2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Matters of Indifference to God - Matters which are not required by God, </w:t>
      </w:r>
      <w:r>
        <w:rPr>
          <w:rStyle w:val="Character7"/>
          <w:sz w:val="24"/>
          <w:szCs w:val="24"/>
        </w:rPr>
        <w:t xml:space="preserve">nor are they prohibited by God.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"for God has received him" - judgement shouldn't be placed on the </w:t>
      </w:r>
      <w:r>
        <w:rPr>
          <w:rStyle w:val="Character7"/>
          <w:sz w:val="24"/>
          <w:szCs w:val="24"/>
        </w:rPr>
        <w:t xml:space="preserve">meat eater because he is accepted by God. 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God cannot accept sin (cf. </w:t>
      </w:r>
      <w:r>
        <w:rPr>
          <w:rStyle w:val="Character16"/>
          <w:sz w:val="24"/>
          <w:szCs w:val="24"/>
          <w:shd w:val="clear" w:color="auto" w:fill="FFFF00"/>
        </w:rPr>
        <w:t xml:space="preserve">1 John 1:5-7</w:t>
      </w:r>
      <w:r>
        <w:rPr>
          <w:rStyle w:val="Character7"/>
          <w:sz w:val="24"/>
          <w:szCs w:val="24"/>
        </w:rPr>
        <w:t xml:space="preserve">). Therefore, the considered </w:t>
      </w:r>
      <w:r>
        <w:rPr>
          <w:rStyle w:val="Character7"/>
          <w:sz w:val="24"/>
          <w:szCs w:val="24"/>
        </w:rPr>
        <w:t xml:space="preserve">subject is not sin.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It is only God's right to judge in this circumstance (</w:t>
      </w:r>
      <w:r>
        <w:rPr>
          <w:rStyle w:val="Character15"/>
          <w:sz w:val="24"/>
          <w:szCs w:val="24"/>
          <w:shd w:val="clear" w:color="auto" w:fill="81DDFF"/>
        </w:rPr>
        <w:t>14:4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He will be made to stand because God has already received him </w:t>
      </w:r>
      <w:r>
        <w:rPr>
          <w:rStyle w:val="Character7"/>
          <w:sz w:val="24"/>
          <w:szCs w:val="24"/>
        </w:rPr>
        <w:t>(</w:t>
      </w:r>
      <w:r>
        <w:rPr>
          <w:rStyle w:val="Character15"/>
          <w:sz w:val="24"/>
          <w:szCs w:val="24"/>
          <w:shd w:val="clear" w:color="auto" w:fill="81DDFF"/>
        </w:rPr>
        <w:t>14:3</w:t>
      </w:r>
      <w:r>
        <w:rPr>
          <w:rStyle w:val="Character7"/>
          <w:sz w:val="24"/>
          <w:szCs w:val="24"/>
        </w:rPr>
        <w:t xml:space="preserve">). He did nothing wrong by eating meat.</w:t>
      </w:r>
    </w:p>
    <w:p>
      <w:pPr>
        <w:pStyle w:val="a3"/>
        <w:numPr>
          <w:ilvl w:val="3"/>
          <w:numId w:val="2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Esteeming days - indifferent.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Esteeming or not Esteeming - both okay. One requisite...</w:t>
      </w:r>
    </w:p>
    <w:p>
      <w:pPr>
        <w:pStyle w:val="a3"/>
        <w:numPr>
          <w:ilvl w:val="5"/>
          <w:numId w:val="2"/>
        </w:numPr>
        <w:jc w:val="left"/>
        <w:spacing w:line="298" w:lineRule="auto"/>
        <w:ind w:left="21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Be fully convinced! (</w:t>
      </w:r>
      <w:r>
        <w:rPr>
          <w:rStyle w:val="Character15"/>
          <w:sz w:val="24"/>
          <w:szCs w:val="24"/>
          <w:shd w:val="clear" w:color="auto" w:fill="81DDFF"/>
        </w:rPr>
        <w:t>14:5</w:t>
      </w:r>
      <w:r>
        <w:rPr>
          <w:rStyle w:val="Character7"/>
          <w:sz w:val="24"/>
          <w:szCs w:val="24"/>
        </w:rPr>
        <w:t xml:space="preserve">) - Is that the determining factor for sin? </w:t>
      </w:r>
      <w:r>
        <w:rPr>
          <w:rStyle w:val="Character7"/>
          <w:sz w:val="24"/>
          <w:szCs w:val="24"/>
        </w:rPr>
        <w:t>No!</w:t>
      </w:r>
    </w:p>
    <w:p>
      <w:pPr>
        <w:pStyle w:val="a3"/>
        <w:numPr>
          <w:ilvl w:val="4"/>
          <w:numId w:val="2"/>
        </w:numPr>
        <w:jc w:val="left"/>
        <w:spacing w:line="298" w:lineRule="auto"/>
        <w:ind w:left="176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Either way is okay because it is observed to the Lord (</w:t>
      </w:r>
      <w:r>
        <w:rPr>
          <w:rStyle w:val="Character15"/>
          <w:sz w:val="24"/>
          <w:szCs w:val="24"/>
          <w:shd w:val="clear" w:color="auto" w:fill="81DDFF"/>
        </w:rPr>
        <w:t>14:6-9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5"/>
          <w:numId w:val="2"/>
        </w:numPr>
        <w:jc w:val="left"/>
        <w:spacing w:line="298" w:lineRule="auto"/>
        <w:ind w:left="21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If it were sin it could not be "observed to the Lord."</w:t>
      </w:r>
    </w:p>
    <w:p>
      <w:pPr>
        <w:pStyle w:val="a3"/>
        <w:numPr>
          <w:ilvl w:val="0"/>
          <w:numId w:val="3"/>
        </w:numPr>
        <w:jc w:val="left"/>
        <w:spacing w:line="298" w:lineRule="auto"/>
        <w:ind w:left="4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God is the ultimate judge (</w:t>
      </w:r>
      <w:r>
        <w:rPr>
          <w:rStyle w:val="Character15"/>
          <w:sz w:val="24"/>
          <w:szCs w:val="24"/>
          <w:shd w:val="clear" w:color="auto" w:fill="81DDFF"/>
        </w:rPr>
        <w:t>14:10-12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1"/>
          <w:numId w:val="4"/>
        </w:numPr>
        <w:jc w:val="left"/>
        <w:spacing w:line="298" w:lineRule="auto"/>
        <w:ind w:left="74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Either one is the Lord's because he observed it to the Lord (</w:t>
      </w:r>
      <w:r>
        <w:rPr>
          <w:rStyle w:val="Character15"/>
          <w:sz w:val="24"/>
          <w:szCs w:val="24"/>
          <w:shd w:val="clear" w:color="auto" w:fill="81DDFF"/>
        </w:rPr>
        <w:t>14:8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2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God has already judged him. He received him. We have no right to reject </w:t>
      </w:r>
      <w:r>
        <w:rPr>
          <w:rStyle w:val="Character7"/>
          <w:sz w:val="24"/>
          <w:szCs w:val="24"/>
        </w:rPr>
        <w:t xml:space="preserve">him if God has received him.</w:t>
      </w:r>
    </w:p>
    <w:p>
      <w:pPr>
        <w:pStyle w:val="a3"/>
        <w:numPr>
          <w:ilvl w:val="1"/>
          <w:numId w:val="4"/>
        </w:numPr>
        <w:jc w:val="left"/>
        <w:spacing w:line="298" w:lineRule="auto"/>
        <w:ind w:left="74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We will all give account of our actions to God (</w:t>
      </w:r>
      <w:r>
        <w:rPr>
          <w:rStyle w:val="Character15"/>
          <w:sz w:val="24"/>
          <w:szCs w:val="24"/>
          <w:shd w:val="clear" w:color="auto" w:fill="81DDFF"/>
        </w:rPr>
        <w:t>14:10-12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2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God will be the one to judge the one eating/not eating and observing/not </w:t>
      </w:r>
      <w:r>
        <w:rPr>
          <w:rStyle w:val="Character7"/>
          <w:sz w:val="24"/>
          <w:szCs w:val="24"/>
        </w:rPr>
        <w:t>observing.</w:t>
      </w:r>
    </w:p>
    <w:p>
      <w:pPr>
        <w:pStyle w:val="a3"/>
        <w:numPr>
          <w:ilvl w:val="0"/>
          <w:numId w:val="3"/>
        </w:numPr>
        <w:jc w:val="left"/>
        <w:spacing w:line="298" w:lineRule="auto"/>
        <w:ind w:left="40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Paul's application (</w:t>
      </w:r>
      <w:r>
        <w:rPr>
          <w:rStyle w:val="Character15"/>
          <w:sz w:val="24"/>
          <w:szCs w:val="24"/>
          <w:shd w:val="clear" w:color="auto" w:fill="81DDFF"/>
        </w:rPr>
        <w:t>14:13-23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1"/>
          <w:numId w:val="4"/>
        </w:numPr>
        <w:jc w:val="left"/>
        <w:spacing w:line="298" w:lineRule="auto"/>
        <w:ind w:left="74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Mainly directed toward the one who understands God allows eating of meat.</w:t>
      </w:r>
    </w:p>
    <w:p>
      <w:pPr>
        <w:pStyle w:val="a3"/>
        <w:numPr>
          <w:ilvl w:val="2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Don't cause a stumbling block (</w:t>
      </w:r>
      <w:r>
        <w:rPr>
          <w:rStyle w:val="Character15"/>
          <w:sz w:val="24"/>
          <w:szCs w:val="24"/>
          <w:shd w:val="clear" w:color="auto" w:fill="81DDFF"/>
        </w:rPr>
        <w:t>14:13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3"/>
          <w:numId w:val="4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Matters of Indifference aren't unclean. But if an individual thinks it is </w:t>
      </w:r>
      <w:r>
        <w:rPr>
          <w:rStyle w:val="Character7"/>
          <w:sz w:val="24"/>
          <w:szCs w:val="24"/>
        </w:rPr>
        <w:t xml:space="preserve">unclean, or doubts it is clean, to him it is unclean (</w:t>
      </w:r>
      <w:r>
        <w:rPr>
          <w:rStyle w:val="Character15"/>
          <w:sz w:val="24"/>
          <w:szCs w:val="24"/>
          <w:shd w:val="clear" w:color="auto" w:fill="81DDFF"/>
        </w:rPr>
        <w:t>14:14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2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Show love (</w:t>
      </w:r>
      <w:r>
        <w:rPr>
          <w:rStyle w:val="Character15"/>
          <w:sz w:val="24"/>
          <w:szCs w:val="24"/>
          <w:shd w:val="clear" w:color="auto" w:fill="81DDFF"/>
        </w:rPr>
        <w:t>14:15-18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3"/>
          <w:numId w:val="4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One isn't approved by God for eating (</w:t>
      </w:r>
      <w:r>
        <w:rPr>
          <w:rStyle w:val="Character15"/>
          <w:sz w:val="24"/>
          <w:szCs w:val="24"/>
          <w:shd w:val="clear" w:color="auto" w:fill="81DDFF"/>
        </w:rPr>
        <w:t>14:17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3"/>
          <w:numId w:val="4"/>
        </w:numPr>
        <w:jc w:val="left"/>
        <w:spacing w:line="298" w:lineRule="auto"/>
        <w:ind w:left="142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You are approved by showing love, righteousness, peace, and joy.</w:t>
      </w:r>
    </w:p>
    <w:p>
      <w:pPr>
        <w:pStyle w:val="a3"/>
        <w:numPr>
          <w:ilvl w:val="0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We shouldn't do it just because it isn't wrong. If it causes a brother to </w:t>
      </w:r>
      <w:r>
        <w:rPr>
          <w:rStyle w:val="Character7"/>
          <w:sz w:val="24"/>
          <w:szCs w:val="24"/>
        </w:rPr>
        <w:t xml:space="preserve">stumble it shouldn't be done. Only those things which edify and promote </w:t>
      </w:r>
      <w:r>
        <w:rPr>
          <w:rStyle w:val="Character7"/>
          <w:sz w:val="24"/>
          <w:szCs w:val="24"/>
        </w:rPr>
        <w:t xml:space="preserve">peace should be done (</w:t>
      </w:r>
      <w:r>
        <w:rPr>
          <w:rStyle w:val="Character15"/>
          <w:sz w:val="24"/>
          <w:szCs w:val="24"/>
          <w:shd w:val="clear" w:color="auto" w:fill="81DDFF"/>
        </w:rPr>
        <w:t>14:19-21</w:t>
      </w:r>
      <w:r>
        <w:rPr>
          <w:rStyle w:val="Character7"/>
          <w:sz w:val="24"/>
          <w:szCs w:val="24"/>
        </w:rPr>
        <w:t>).</w:t>
      </w:r>
    </w:p>
    <w:p>
      <w:pPr>
        <w:pStyle w:val="a3"/>
        <w:numPr>
          <w:ilvl w:val="2"/>
          <w:numId w:val="4"/>
        </w:numPr>
        <w:jc w:val="left"/>
        <w:spacing w:line="298" w:lineRule="auto"/>
        <w:ind w:left="1080" w:hanging="400"/>
        <w:rPr>
          <w:sz w:val="20"/>
          <w:szCs w:val="20"/>
          <w:rFonts w:ascii="Tahoma" w:eastAsia="Tahoma" w:hAnsi="Tahoma"/>
        </w:rPr>
      </w:pPr>
      <w:r>
        <w:rPr>
          <w:rStyle w:val="Character7"/>
          <w:sz w:val="24"/>
          <w:szCs w:val="24"/>
        </w:rPr>
        <w:t xml:space="preserve">If you can eat in good conscience, great. If not, don't sin by doing it </w:t>
      </w:r>
      <w:r>
        <w:rPr>
          <w:rStyle w:val="Character7"/>
          <w:sz w:val="24"/>
          <w:szCs w:val="24"/>
        </w:rPr>
        <w:t>(</w:t>
      </w:r>
      <w:r>
        <w:rPr>
          <w:rStyle w:val="Character15"/>
          <w:sz w:val="24"/>
          <w:szCs w:val="24"/>
          <w:shd w:val="clear" w:color="auto" w:fill="81DDFF"/>
        </w:rPr>
        <w:t>14:22-23</w:t>
      </w:r>
      <w:r>
        <w:rPr>
          <w:rStyle w:val="Character7"/>
          <w:sz w:val="24"/>
          <w:szCs w:val="24"/>
        </w:rPr>
        <w:t>).</w:t>
      </w: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nsid w:val="0"/>
    <w:multiLevelType w:val="hybridMultilevel"/>
    <w:tmpl w:val="26761401"/>
    <w:lvl w:ilvl="0">
      <w:start w:val="1"/>
      <w:numFmt w:val="upperRoman"/>
      <w:lvlText w:val="%1."/>
      <w:pPr>
        <w:ind w:left="400" w:hanging="40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1">
      <w:start w:val="1"/>
      <w:numFmt w:val="upperRoman"/>
      <w:lvlText w:val="%2."/>
      <w:pPr>
        <w:ind w:left="8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2">
      <w:start w:val="1"/>
      <w:numFmt w:val="upperRoman"/>
      <w:lvlText w:val="%3."/>
      <w:pPr>
        <w:ind w:left="12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3">
      <w:start w:val="1"/>
      <w:numFmt w:val="upperRoman"/>
      <w:lvlText w:val="%4."/>
      <w:pPr>
        <w:ind w:left="16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4">
      <w:start w:val="1"/>
      <w:numFmt w:val="upperRoman"/>
      <w:lvlText w:val="%5."/>
      <w:pPr>
        <w:ind w:left="20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5">
      <w:start w:val="1"/>
      <w:numFmt w:val="upperRoman"/>
      <w:lvlText w:val="%6."/>
      <w:pPr>
        <w:ind w:left="2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6">
      <w:start w:val="1"/>
      <w:numFmt w:val="upperRoman"/>
      <w:lvlText w:val="%7."/>
      <w:pPr>
        <w:ind w:left="28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7">
      <w:start w:val="1"/>
      <w:numFmt w:val="upperRoman"/>
      <w:lvlText w:val="%8."/>
      <w:pPr>
        <w:ind w:left="32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8">
      <w:start w:val="1"/>
      <w:numFmt w:val="upperRoman"/>
      <w:lvlText w:val="%9."/>
      <w:pPr>
        <w:ind w:left="36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</w:abstractNum>
  <w:abstractNum w:abstractNumId="1">
    <w:nsid w:val="1"/>
    <w:multiLevelType w:val="hybridMultilevel"/>
    <w:tmpl w:val="1017377126"/>
    <w:lvl w:ilvl="0">
      <w:start w:val="1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2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3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4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5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6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7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8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</w:abstractNum>
  <w:abstractNum w:abstractNumId="2">
    <w:nsid w:val="2"/>
    <w:multiLevelType w:val="hybridMultilevel"/>
    <w:tmpl w:val="1230192291"/>
    <w:lvl w:ilvl="0">
      <w:start w:val="2"/>
      <w:numFmt w:val="upperRoman"/>
      <w:lvlText w:val="%1."/>
      <w:pPr>
        <w:ind w:left="400" w:hanging="400"/>
      </w:pPr>
      <w:rPr>
        <w:rFonts w:ascii="Times New Roman" w:eastAsia="Times New Roman" w:hAnsi="Times New Roman" w:hint="default"/>
      </w:rPr>
      <w:rPr>
        <w:b w:val="false"/>
        <w:sz w:val="24"/>
        <w:szCs w:val="24"/>
        <w:color w:val="000000"/>
      </w:rPr>
    </w:lvl>
    <w:lvl w:ilvl="1">
      <w:start w:val="1"/>
      <w:numFmt w:val="upperRoman"/>
      <w:lvlText w:val="%2."/>
      <w:pPr>
        <w:ind w:left="8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2">
      <w:start w:val="1"/>
      <w:numFmt w:val="upperRoman"/>
      <w:lvlText w:val="%3."/>
      <w:pPr>
        <w:ind w:left="12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3">
      <w:start w:val="1"/>
      <w:numFmt w:val="upperRoman"/>
      <w:lvlText w:val="%4."/>
      <w:pPr>
        <w:ind w:left="16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4">
      <w:start w:val="1"/>
      <w:numFmt w:val="upperRoman"/>
      <w:lvlText w:val="%5."/>
      <w:pPr>
        <w:ind w:left="20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5">
      <w:start w:val="1"/>
      <w:numFmt w:val="upperRoman"/>
      <w:lvlText w:val="%6."/>
      <w:pPr>
        <w:ind w:left="2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6">
      <w:start w:val="1"/>
      <w:numFmt w:val="upperRoman"/>
      <w:lvlText w:val="%7."/>
      <w:pPr>
        <w:ind w:left="28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7">
      <w:start w:val="1"/>
      <w:numFmt w:val="upperRoman"/>
      <w:lvlText w:val="%8."/>
      <w:pPr>
        <w:ind w:left="32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8">
      <w:start w:val="1"/>
      <w:numFmt w:val="upperRoman"/>
      <w:lvlText w:val="%9."/>
      <w:pPr>
        <w:ind w:left="36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</w:abstractNum>
  <w:abstractNum w:abstractNumId="3">
    <w:nsid w:val="3"/>
    <w:multiLevelType w:val="hybridMultilevel"/>
    <w:tmpl w:val="838056238"/>
    <w:lvl w:ilvl="0">
      <w:start w:val="1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1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2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3">
      <w:start w:val="0"/>
      <w:numFmt w:val="bullet"/>
      <w:lvlText w:val=""/>
      <w:pPr>
        <w:ind w:left="400" w:hanging="400"/>
      </w:pPr>
      <w:rPr>
        <w:rFonts w:ascii="Wingdings" w:eastAsia="Wingdings" w:hAnsi="Wingdings" w:hint="default"/>
      </w:rPr>
      <w:rPr>
        <w:b w:val="false"/>
        <w:sz w:val="24"/>
        <w:szCs w:val="24"/>
        <w:color w:val="000000"/>
      </w:rPr>
    </w:lvl>
    <w:lvl w:ilvl="4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5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6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7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  <w:lvl w:ilvl="8">
      <w:start w:val="1"/>
      <w:numFmt w:val="bullet"/>
      <w:lvlText w:val=""/>
      <w:pPr>
        <w:ind w:left="400" w:hanging="400"/>
      </w:pPr>
      <w:rPr>
        <w:rFonts w:ascii="Tahoma" w:eastAsia="Tahoma" w:hAnsi="Tahoma" w:hint="default"/>
      </w:rPr>
      <w:rPr>
        <w:b/>
        <w:sz w:val="32"/>
        <w:szCs w:val="32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400" w:hanging="40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740" w:hanging="40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1080" w:hanging="40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340" w:firstLine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1420" w:hanging="40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1760" w:hanging="40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2100" w:hanging="40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paragraph" w:customStyle="1" w:styleId="Para11">
    <w:name w:val="ParaAttribute11"/>
    <w:pPr>
      <w:jc w:val="left"/>
      <w:wordWrap w:val="false"/>
      <w:ind w:left="0" w:hanging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widowControl w:val="false"/>
      <w:rPr/>
    </w:pPr>
  </w:style>
  <w:style w:type="paragraph" w:customStyle="1" w:styleId="Para13">
    <w:name w:val="ParaAttribute13"/>
    <w:pPr>
      <w:jc w:val="left"/>
      <w:wordWrap w:val="false"/>
      <w:ind w:left="0" w:hanging="0"/>
      <w:widowControl w:val="false"/>
      <w:rPr/>
    </w:pPr>
  </w:style>
  <w:style w:type="paragraph" w:customStyle="1" w:styleId="Para14">
    <w:name w:val="ParaAttribute14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ahoma" w:eastAsia="Tahoma"/>
      <w:b/>
      <w:sz w:val="32"/>
    </w:rPr>
  </w:style>
  <w:style w:type="character" w:customStyle="1" w:styleId="Character1">
    <w:name w:val="CharAttribute1"/>
    <w:rPr>
      <w:rFonts w:ascii="Tahoma" w:eastAsia="Tahoma"/>
      <w:b/>
      <w:sz w:val="32"/>
    </w:rPr>
  </w:style>
  <w:style w:type="character" w:customStyle="1" w:styleId="Character2">
    <w:name w:val="CharAttribute2"/>
    <w:rPr>
      <w:rFonts w:ascii="Tahoma" w:eastAsia="Tahoma"/>
      <w:i/>
      <w:sz w:val="24"/>
    </w:rPr>
  </w:style>
  <w:style w:type="character" w:customStyle="1" w:styleId="Character3">
    <w:name w:val="CharAttribute3"/>
    <w:rPr>
      <w:rFonts w:ascii="Tahoma" w:eastAsia="Tahoma"/>
      <w:i/>
      <w:sz w:val="24"/>
    </w:rPr>
  </w:style>
  <w:style w:type="character" w:customStyle="1" w:styleId="Character4">
    <w:name w:val="CharAttribute4"/>
    <w:rPr>
      <w:rFonts w:ascii="Tahoma" w:eastAsia="Tahoma"/>
    </w:rPr>
  </w:style>
  <w:style w:type="character" w:customStyle="1" w:styleId="Character5">
    <w:name w:val="CharAttribute5"/>
    <w:rPr>
      <w:rFonts w:ascii="Times New Roman" w:eastAsia="Times New Roman"/>
      <w:sz w:val="24"/>
    </w:rPr>
  </w:style>
  <w:style w:type="character" w:customStyle="1" w:styleId="Character6">
    <w:name w:val="CharAttribute6"/>
    <w:rPr>
      <w:rFonts w:ascii="Times New Roman" w:eastAsia="Times New Roman"/>
      <w:sz w:val="24"/>
    </w:rPr>
  </w:style>
  <w:style w:type="character" w:customStyle="1" w:styleId="Character7">
    <w:name w:val="CharAttribute7"/>
    <w:rPr>
      <w:rFonts w:ascii="Tahoma" w:eastAsia="Tahoma"/>
      <w:sz w:val="24"/>
    </w:rPr>
  </w:style>
  <w:style w:type="character" w:customStyle="1" w:styleId="Character8">
    <w:name w:val="CharAttribute8"/>
    <w:rPr>
      <w:rFonts w:ascii="Wingdings" w:eastAsia="Wingdings"/>
      <w:sz w:val="24"/>
    </w:rPr>
  </w:style>
  <w:style w:type="character" w:customStyle="1" w:styleId="Character9">
    <w:name w:val="CharAttribute9"/>
    <w:rPr>
      <w:rFonts w:ascii="Wingdings" w:eastAsia="Wingdings"/>
      <w:sz w:val="24"/>
    </w:rPr>
  </w:style>
  <w:style w:type="character" w:customStyle="1" w:styleId="Character10">
    <w:name w:val="CharAttribute10"/>
    <w:rPr>
      <w:rFonts w:ascii="Wingdings" w:eastAsia="Wingdings"/>
      <w:sz w:val="24"/>
    </w:rPr>
  </w:style>
  <w:style w:type="character" w:customStyle="1" w:styleId="Character11">
    <w:name w:val="CharAttribute11"/>
    <w:rPr>
      <w:rFonts w:ascii="Wingdings" w:eastAsia="Wingdings"/>
      <w:sz w:val="24"/>
    </w:rPr>
  </w:style>
  <w:style w:type="character" w:customStyle="1" w:styleId="Character12">
    <w:name w:val="CharAttribute12"/>
    <w:rPr>
      <w:rFonts w:ascii="Times New Roman" w:eastAsia="Times New Roman"/>
      <w:sz w:val="24"/>
    </w:rPr>
  </w:style>
  <w:style w:type="character" w:customStyle="1" w:styleId="Character13">
    <w:name w:val="CharAttribute13"/>
    <w:rPr>
      <w:rFonts w:ascii="Times New Roman" w:eastAsia="Times New Roman"/>
      <w:sz w:val="24"/>
    </w:rPr>
  </w:style>
  <w:style w:type="character" w:customStyle="1" w:styleId="Character14">
    <w:name w:val="CharAttribute14"/>
    <w:rPr>
      <w:rFonts w:ascii="Tahoma" w:eastAsia="Tahoma"/>
      <w:sz w:val="24"/>
    </w:rPr>
  </w:style>
  <w:style w:type="character" w:customStyle="1" w:styleId="Character15">
    <w:name w:val="CharAttribute15"/>
    <w:rPr>
      <w:rFonts w:ascii="Tahoma" w:eastAsia="Tahoma"/>
      <w:sz w:val="24"/>
      <w:shd w:val="clear" w:color="auto" w:fill="81DDFF"/>
    </w:rPr>
  </w:style>
  <w:style w:type="character" w:customStyle="1" w:styleId="Character16">
    <w:name w:val="CharAttribute16"/>
    <w:rPr>
      <w:rFonts w:ascii="Tahoma" w:eastAsia="Tahoma"/>
      <w:sz w:val="24"/>
      <w:shd w:val="clear" w:color="auto" w:fill="FFFF00"/>
    </w:rPr>
  </w:style>
  <w:style w:type="character" w:customStyle="1" w:styleId="Character17">
    <w:name w:val="CharAttribute17"/>
    <w:rPr>
      <w:rFonts w:ascii="Tahoma" w:eastAsia="Tahoma"/>
      <w:sz w:val="24"/>
      <w:shd w:val="clear" w:color="auto" w:fill="3C77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624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